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18C52" w14:textId="77777777" w:rsidR="00786009" w:rsidRPr="00A95257" w:rsidRDefault="00000000" w:rsidP="007944EC">
      <w:pPr>
        <w:spacing w:line="360" w:lineRule="auto"/>
        <w:jc w:val="both"/>
        <w:rPr>
          <w:rFonts w:ascii="Times New Roman" w:eastAsia="Times New Roman" w:hAnsi="Times New Roman" w:cs="Times New Roman"/>
          <w:b/>
          <w:sz w:val="24"/>
          <w:szCs w:val="24"/>
        </w:rPr>
      </w:pPr>
      <w:r w:rsidRPr="00A95257">
        <w:rPr>
          <w:rFonts w:ascii="Times New Roman" w:eastAsia="Times New Roman" w:hAnsi="Times New Roman" w:cs="Times New Roman"/>
          <w:b/>
          <w:sz w:val="24"/>
          <w:szCs w:val="24"/>
        </w:rPr>
        <w:t>A.C. 3.2 Compare different approaches to retaining people</w:t>
      </w:r>
    </w:p>
    <w:p w14:paraId="77D1016C" w14:textId="77777777" w:rsidR="00786009" w:rsidRPr="00A95257" w:rsidRDefault="00000000" w:rsidP="007944EC">
      <w:pPr>
        <w:spacing w:line="360" w:lineRule="auto"/>
        <w:jc w:val="both"/>
        <w:rPr>
          <w:rFonts w:ascii="Times New Roman" w:eastAsia="Times New Roman" w:hAnsi="Times New Roman" w:cs="Times New Roman"/>
          <w:sz w:val="24"/>
          <w:szCs w:val="24"/>
        </w:rPr>
      </w:pPr>
      <w:r w:rsidRPr="00A95257">
        <w:rPr>
          <w:rFonts w:ascii="Times New Roman" w:eastAsia="Times New Roman" w:hAnsi="Times New Roman" w:cs="Times New Roman"/>
          <w:sz w:val="24"/>
          <w:szCs w:val="24"/>
        </w:rPr>
        <w:t>Maintaining a warehouse workforce at ImportantParcel has been more difficult because of the competition in the labour market, as well as job options in the logistics sector, retail distribution and e-commerce centres.</w:t>
      </w:r>
    </w:p>
    <w:p w14:paraId="2830920F" w14:textId="77777777" w:rsidR="00786009" w:rsidRPr="00A95257" w:rsidRDefault="00786009" w:rsidP="007944EC">
      <w:pPr>
        <w:spacing w:line="360" w:lineRule="auto"/>
        <w:jc w:val="both"/>
        <w:rPr>
          <w:rFonts w:ascii="Times New Roman" w:eastAsia="Times New Roman" w:hAnsi="Times New Roman" w:cs="Times New Roman"/>
          <w:sz w:val="24"/>
          <w:szCs w:val="24"/>
        </w:rP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786009" w:rsidRPr="00A95257" w14:paraId="60C7986A" w14:textId="77777777">
        <w:tc>
          <w:tcPr>
            <w:tcW w:w="2340" w:type="dxa"/>
            <w:tcMar>
              <w:top w:w="100" w:type="dxa"/>
              <w:left w:w="100" w:type="dxa"/>
              <w:bottom w:w="100" w:type="dxa"/>
              <w:right w:w="100" w:type="dxa"/>
            </w:tcMar>
          </w:tcPr>
          <w:p w14:paraId="6A600CCF" w14:textId="77777777" w:rsidR="00786009" w:rsidRPr="00A95257" w:rsidRDefault="00000000" w:rsidP="007944EC">
            <w:pPr>
              <w:spacing w:line="360" w:lineRule="auto"/>
              <w:jc w:val="both"/>
              <w:rPr>
                <w:rFonts w:ascii="Times New Roman" w:eastAsia="Times New Roman" w:hAnsi="Times New Roman" w:cs="Times New Roman"/>
                <w:sz w:val="24"/>
                <w:szCs w:val="24"/>
              </w:rPr>
            </w:pPr>
            <w:r w:rsidRPr="00A95257">
              <w:rPr>
                <w:rFonts w:ascii="Times New Roman" w:eastAsia="Times New Roman" w:hAnsi="Times New Roman" w:cs="Times New Roman"/>
                <w:b/>
                <w:sz w:val="24"/>
                <w:szCs w:val="24"/>
              </w:rPr>
              <w:t>Approach</w:t>
            </w:r>
          </w:p>
        </w:tc>
        <w:tc>
          <w:tcPr>
            <w:tcW w:w="2340" w:type="dxa"/>
            <w:tcMar>
              <w:top w:w="100" w:type="dxa"/>
              <w:left w:w="100" w:type="dxa"/>
              <w:bottom w:w="100" w:type="dxa"/>
              <w:right w:w="100" w:type="dxa"/>
            </w:tcMar>
          </w:tcPr>
          <w:p w14:paraId="01D8465B" w14:textId="77777777" w:rsidR="00786009" w:rsidRPr="00A95257" w:rsidRDefault="00000000" w:rsidP="007944EC">
            <w:pPr>
              <w:spacing w:line="360" w:lineRule="auto"/>
              <w:jc w:val="both"/>
              <w:rPr>
                <w:rFonts w:ascii="Times New Roman" w:eastAsia="Times New Roman" w:hAnsi="Times New Roman" w:cs="Times New Roman"/>
                <w:sz w:val="24"/>
                <w:szCs w:val="24"/>
              </w:rPr>
            </w:pPr>
            <w:r w:rsidRPr="00A95257">
              <w:rPr>
                <w:rFonts w:ascii="Times New Roman" w:eastAsia="Times New Roman" w:hAnsi="Times New Roman" w:cs="Times New Roman"/>
                <w:b/>
                <w:sz w:val="24"/>
                <w:szCs w:val="24"/>
              </w:rPr>
              <w:t>Strengths</w:t>
            </w:r>
          </w:p>
        </w:tc>
        <w:tc>
          <w:tcPr>
            <w:tcW w:w="2340" w:type="dxa"/>
            <w:tcMar>
              <w:top w:w="100" w:type="dxa"/>
              <w:left w:w="100" w:type="dxa"/>
              <w:bottom w:w="100" w:type="dxa"/>
              <w:right w:w="100" w:type="dxa"/>
            </w:tcMar>
          </w:tcPr>
          <w:p w14:paraId="610FCCC6" w14:textId="77777777" w:rsidR="00786009" w:rsidRPr="00A95257" w:rsidRDefault="00000000" w:rsidP="007944EC">
            <w:pPr>
              <w:widowControl w:val="0"/>
              <w:pBdr>
                <w:top w:val="nil"/>
                <w:left w:val="nil"/>
                <w:bottom w:val="nil"/>
                <w:right w:val="nil"/>
                <w:between w:val="nil"/>
              </w:pBdr>
              <w:spacing w:line="360" w:lineRule="auto"/>
              <w:jc w:val="both"/>
              <w:rPr>
                <w:rFonts w:ascii="Times New Roman" w:eastAsia="Times New Roman" w:hAnsi="Times New Roman" w:cs="Times New Roman"/>
                <w:b/>
                <w:sz w:val="24"/>
                <w:szCs w:val="24"/>
              </w:rPr>
            </w:pPr>
            <w:r w:rsidRPr="00A95257">
              <w:rPr>
                <w:rFonts w:ascii="Times New Roman" w:eastAsia="Times New Roman" w:hAnsi="Times New Roman" w:cs="Times New Roman"/>
                <w:b/>
                <w:sz w:val="24"/>
                <w:szCs w:val="24"/>
              </w:rPr>
              <w:t>Limitations</w:t>
            </w:r>
          </w:p>
        </w:tc>
        <w:tc>
          <w:tcPr>
            <w:tcW w:w="2340" w:type="dxa"/>
            <w:tcMar>
              <w:top w:w="100" w:type="dxa"/>
              <w:left w:w="100" w:type="dxa"/>
              <w:bottom w:w="100" w:type="dxa"/>
              <w:right w:w="100" w:type="dxa"/>
            </w:tcMar>
          </w:tcPr>
          <w:p w14:paraId="362FBF38" w14:textId="77777777" w:rsidR="00786009" w:rsidRPr="00A95257" w:rsidRDefault="00000000" w:rsidP="007944EC">
            <w:pPr>
              <w:widowControl w:val="0"/>
              <w:pBdr>
                <w:top w:val="nil"/>
                <w:left w:val="nil"/>
                <w:bottom w:val="nil"/>
                <w:right w:val="nil"/>
                <w:between w:val="nil"/>
              </w:pBdr>
              <w:spacing w:line="360" w:lineRule="auto"/>
              <w:jc w:val="both"/>
              <w:rPr>
                <w:rFonts w:ascii="Times New Roman" w:eastAsia="Times New Roman" w:hAnsi="Times New Roman" w:cs="Times New Roman"/>
                <w:b/>
                <w:sz w:val="24"/>
                <w:szCs w:val="24"/>
              </w:rPr>
            </w:pPr>
            <w:r w:rsidRPr="00A95257">
              <w:rPr>
                <w:rFonts w:ascii="Times New Roman" w:eastAsia="Times New Roman" w:hAnsi="Times New Roman" w:cs="Times New Roman"/>
                <w:b/>
                <w:sz w:val="24"/>
                <w:szCs w:val="24"/>
              </w:rPr>
              <w:t>Suitability to ImportantParcel</w:t>
            </w:r>
          </w:p>
        </w:tc>
      </w:tr>
      <w:tr w:rsidR="00786009" w:rsidRPr="00A95257" w14:paraId="76C2FD55" w14:textId="77777777">
        <w:tc>
          <w:tcPr>
            <w:tcW w:w="2340" w:type="dxa"/>
            <w:tcMar>
              <w:top w:w="100" w:type="dxa"/>
              <w:left w:w="100" w:type="dxa"/>
              <w:bottom w:w="100" w:type="dxa"/>
              <w:right w:w="100" w:type="dxa"/>
            </w:tcMar>
          </w:tcPr>
          <w:p w14:paraId="642F08E0" w14:textId="77777777" w:rsidR="00786009" w:rsidRPr="00A95257" w:rsidRDefault="00000000" w:rsidP="007944EC">
            <w:pPr>
              <w:widowControl w:val="0"/>
              <w:pBdr>
                <w:top w:val="nil"/>
                <w:left w:val="nil"/>
                <w:bottom w:val="nil"/>
                <w:right w:val="nil"/>
                <w:between w:val="nil"/>
              </w:pBdr>
              <w:spacing w:line="360" w:lineRule="auto"/>
              <w:jc w:val="both"/>
              <w:rPr>
                <w:rFonts w:ascii="Times New Roman" w:eastAsia="Times New Roman" w:hAnsi="Times New Roman" w:cs="Times New Roman"/>
                <w:b/>
                <w:sz w:val="24"/>
                <w:szCs w:val="24"/>
              </w:rPr>
            </w:pPr>
            <w:r w:rsidRPr="00A95257">
              <w:rPr>
                <w:rFonts w:ascii="Times New Roman" w:eastAsia="Times New Roman" w:hAnsi="Times New Roman" w:cs="Times New Roman"/>
                <w:b/>
                <w:sz w:val="24"/>
                <w:szCs w:val="24"/>
              </w:rPr>
              <w:t>Realistic Job Reviews (RJPs)</w:t>
            </w:r>
          </w:p>
        </w:tc>
        <w:tc>
          <w:tcPr>
            <w:tcW w:w="2340" w:type="dxa"/>
            <w:tcMar>
              <w:top w:w="100" w:type="dxa"/>
              <w:left w:w="100" w:type="dxa"/>
              <w:bottom w:w="100" w:type="dxa"/>
              <w:right w:w="100" w:type="dxa"/>
            </w:tcMar>
          </w:tcPr>
          <w:p w14:paraId="7B746891" w14:textId="77777777" w:rsidR="00786009" w:rsidRPr="00A95257" w:rsidRDefault="00000000" w:rsidP="007944EC">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sidRPr="00A95257">
              <w:rPr>
                <w:rFonts w:ascii="Times New Roman" w:eastAsia="Times New Roman" w:hAnsi="Times New Roman" w:cs="Times New Roman"/>
                <w:sz w:val="24"/>
                <w:szCs w:val="24"/>
              </w:rPr>
              <w:t>Provides honest expectations, reduce ‘hire shock’, lowers early turnover, improves trust</w:t>
            </w:r>
          </w:p>
        </w:tc>
        <w:tc>
          <w:tcPr>
            <w:tcW w:w="2340" w:type="dxa"/>
            <w:tcMar>
              <w:top w:w="100" w:type="dxa"/>
              <w:left w:w="100" w:type="dxa"/>
              <w:bottom w:w="100" w:type="dxa"/>
              <w:right w:w="100" w:type="dxa"/>
            </w:tcMar>
          </w:tcPr>
          <w:p w14:paraId="3BDC71CC" w14:textId="77777777" w:rsidR="00786009" w:rsidRPr="00A95257" w:rsidRDefault="00000000" w:rsidP="007944EC">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sidRPr="00A95257">
              <w:rPr>
                <w:rFonts w:ascii="Times New Roman" w:eastAsia="Times New Roman" w:hAnsi="Times New Roman" w:cs="Times New Roman"/>
                <w:sz w:val="24"/>
                <w:szCs w:val="24"/>
              </w:rPr>
              <w:t>May discourage some candidates, require time and planning.</w:t>
            </w:r>
          </w:p>
        </w:tc>
        <w:tc>
          <w:tcPr>
            <w:tcW w:w="2340" w:type="dxa"/>
            <w:tcMar>
              <w:top w:w="100" w:type="dxa"/>
              <w:left w:w="100" w:type="dxa"/>
              <w:bottom w:w="100" w:type="dxa"/>
              <w:right w:w="100" w:type="dxa"/>
            </w:tcMar>
          </w:tcPr>
          <w:p w14:paraId="130660F9" w14:textId="77777777" w:rsidR="00786009" w:rsidRPr="00A95257" w:rsidRDefault="00000000" w:rsidP="007944EC">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sidRPr="00A95257">
              <w:rPr>
                <w:rFonts w:ascii="Times New Roman" w:eastAsia="Times New Roman" w:hAnsi="Times New Roman" w:cs="Times New Roman"/>
                <w:sz w:val="24"/>
                <w:szCs w:val="24"/>
              </w:rPr>
              <w:t xml:space="preserve">Helps to avoid hiring individuals unable to cope with shift work, physical tasks or fast pace </w:t>
            </w:r>
          </w:p>
        </w:tc>
      </w:tr>
      <w:tr w:rsidR="00786009" w:rsidRPr="00A95257" w14:paraId="6D5566C0" w14:textId="77777777">
        <w:tc>
          <w:tcPr>
            <w:tcW w:w="2340" w:type="dxa"/>
            <w:tcMar>
              <w:top w:w="100" w:type="dxa"/>
              <w:left w:w="100" w:type="dxa"/>
              <w:bottom w:w="100" w:type="dxa"/>
              <w:right w:w="100" w:type="dxa"/>
            </w:tcMar>
          </w:tcPr>
          <w:p w14:paraId="317D8DA8" w14:textId="77777777" w:rsidR="00786009" w:rsidRPr="00A95257" w:rsidRDefault="00000000" w:rsidP="007944EC">
            <w:pPr>
              <w:widowControl w:val="0"/>
              <w:pBdr>
                <w:top w:val="nil"/>
                <w:left w:val="nil"/>
                <w:bottom w:val="nil"/>
                <w:right w:val="nil"/>
                <w:between w:val="nil"/>
              </w:pBdr>
              <w:spacing w:line="360" w:lineRule="auto"/>
              <w:jc w:val="both"/>
              <w:rPr>
                <w:rFonts w:ascii="Times New Roman" w:eastAsia="Times New Roman" w:hAnsi="Times New Roman" w:cs="Times New Roman"/>
                <w:b/>
                <w:sz w:val="24"/>
                <w:szCs w:val="24"/>
              </w:rPr>
            </w:pPr>
            <w:r w:rsidRPr="00A95257">
              <w:rPr>
                <w:rFonts w:ascii="Times New Roman" w:eastAsia="Times New Roman" w:hAnsi="Times New Roman" w:cs="Times New Roman"/>
                <w:b/>
                <w:sz w:val="24"/>
                <w:szCs w:val="24"/>
              </w:rPr>
              <w:t>Induction</w:t>
            </w:r>
          </w:p>
        </w:tc>
        <w:tc>
          <w:tcPr>
            <w:tcW w:w="2340" w:type="dxa"/>
            <w:tcMar>
              <w:top w:w="100" w:type="dxa"/>
              <w:left w:w="100" w:type="dxa"/>
              <w:bottom w:w="100" w:type="dxa"/>
              <w:right w:w="100" w:type="dxa"/>
            </w:tcMar>
          </w:tcPr>
          <w:p w14:paraId="38B02F89" w14:textId="77777777" w:rsidR="00786009" w:rsidRPr="00A95257" w:rsidRDefault="00000000" w:rsidP="007944EC">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sidRPr="00A95257">
              <w:rPr>
                <w:rFonts w:ascii="Times New Roman" w:eastAsia="Times New Roman" w:hAnsi="Times New Roman" w:cs="Times New Roman"/>
                <w:sz w:val="24"/>
                <w:szCs w:val="24"/>
              </w:rPr>
              <w:t>Improves early engagement, reduces anxiety, clarifies performance standards and safety procedures.</w:t>
            </w:r>
          </w:p>
        </w:tc>
        <w:tc>
          <w:tcPr>
            <w:tcW w:w="2340" w:type="dxa"/>
            <w:tcMar>
              <w:top w:w="100" w:type="dxa"/>
              <w:left w:w="100" w:type="dxa"/>
              <w:bottom w:w="100" w:type="dxa"/>
              <w:right w:w="100" w:type="dxa"/>
            </w:tcMar>
          </w:tcPr>
          <w:p w14:paraId="5A1C7BE0" w14:textId="77777777" w:rsidR="00786009" w:rsidRPr="00A95257" w:rsidRDefault="00000000" w:rsidP="007944EC">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sidRPr="00A95257">
              <w:rPr>
                <w:rFonts w:ascii="Times New Roman" w:eastAsia="Times New Roman" w:hAnsi="Times New Roman" w:cs="Times New Roman"/>
                <w:sz w:val="24"/>
                <w:szCs w:val="24"/>
              </w:rPr>
              <w:t>Poor induction leads to disengagement, resource-intensive.</w:t>
            </w:r>
          </w:p>
        </w:tc>
        <w:tc>
          <w:tcPr>
            <w:tcW w:w="2340" w:type="dxa"/>
            <w:tcMar>
              <w:top w:w="100" w:type="dxa"/>
              <w:left w:w="100" w:type="dxa"/>
              <w:bottom w:w="100" w:type="dxa"/>
              <w:right w:w="100" w:type="dxa"/>
            </w:tcMar>
          </w:tcPr>
          <w:p w14:paraId="11C929CD" w14:textId="77777777" w:rsidR="00786009" w:rsidRPr="00A95257" w:rsidRDefault="00000000" w:rsidP="007944EC">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sidRPr="00A95257">
              <w:rPr>
                <w:rFonts w:ascii="Times New Roman" w:eastAsia="Times New Roman" w:hAnsi="Times New Roman" w:cs="Times New Roman"/>
                <w:sz w:val="24"/>
                <w:szCs w:val="24"/>
              </w:rPr>
              <w:t>Important for warehouse roles due to health and safety and process complexity.</w:t>
            </w:r>
          </w:p>
        </w:tc>
      </w:tr>
      <w:tr w:rsidR="00786009" w:rsidRPr="00A95257" w14:paraId="46A69F31" w14:textId="77777777">
        <w:tc>
          <w:tcPr>
            <w:tcW w:w="2340" w:type="dxa"/>
            <w:tcMar>
              <w:top w:w="100" w:type="dxa"/>
              <w:left w:w="100" w:type="dxa"/>
              <w:bottom w:w="100" w:type="dxa"/>
              <w:right w:w="100" w:type="dxa"/>
            </w:tcMar>
          </w:tcPr>
          <w:p w14:paraId="0053C652" w14:textId="77777777" w:rsidR="00786009" w:rsidRPr="00A95257" w:rsidRDefault="00000000" w:rsidP="007944EC">
            <w:pPr>
              <w:widowControl w:val="0"/>
              <w:pBdr>
                <w:top w:val="nil"/>
                <w:left w:val="nil"/>
                <w:bottom w:val="nil"/>
                <w:right w:val="nil"/>
                <w:between w:val="nil"/>
              </w:pBdr>
              <w:spacing w:line="360" w:lineRule="auto"/>
              <w:jc w:val="both"/>
              <w:rPr>
                <w:rFonts w:ascii="Times New Roman" w:eastAsia="Times New Roman" w:hAnsi="Times New Roman" w:cs="Times New Roman"/>
                <w:b/>
                <w:sz w:val="24"/>
                <w:szCs w:val="24"/>
              </w:rPr>
            </w:pPr>
            <w:r w:rsidRPr="00A95257">
              <w:rPr>
                <w:rFonts w:ascii="Times New Roman" w:eastAsia="Times New Roman" w:hAnsi="Times New Roman" w:cs="Times New Roman"/>
                <w:b/>
                <w:sz w:val="24"/>
                <w:szCs w:val="24"/>
              </w:rPr>
              <w:t>Job Enrichment</w:t>
            </w:r>
          </w:p>
        </w:tc>
        <w:tc>
          <w:tcPr>
            <w:tcW w:w="2340" w:type="dxa"/>
            <w:tcMar>
              <w:top w:w="100" w:type="dxa"/>
              <w:left w:w="100" w:type="dxa"/>
              <w:bottom w:w="100" w:type="dxa"/>
              <w:right w:w="100" w:type="dxa"/>
            </w:tcMar>
          </w:tcPr>
          <w:p w14:paraId="28EBE0ED" w14:textId="77777777" w:rsidR="00786009" w:rsidRPr="00A95257" w:rsidRDefault="00000000" w:rsidP="007944EC">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sidRPr="00A95257">
              <w:rPr>
                <w:rFonts w:ascii="Times New Roman" w:eastAsia="Times New Roman" w:hAnsi="Times New Roman" w:cs="Times New Roman"/>
                <w:sz w:val="24"/>
                <w:szCs w:val="24"/>
              </w:rPr>
              <w:t>Increases autonomy, skill variety and purpose, boosts motivation, supports development</w:t>
            </w:r>
          </w:p>
        </w:tc>
        <w:tc>
          <w:tcPr>
            <w:tcW w:w="2340" w:type="dxa"/>
            <w:tcMar>
              <w:top w:w="100" w:type="dxa"/>
              <w:left w:w="100" w:type="dxa"/>
              <w:bottom w:w="100" w:type="dxa"/>
              <w:right w:w="100" w:type="dxa"/>
            </w:tcMar>
          </w:tcPr>
          <w:p w14:paraId="7C20B338" w14:textId="77777777" w:rsidR="00786009" w:rsidRPr="00A95257" w:rsidRDefault="00000000" w:rsidP="007944EC">
            <w:pPr>
              <w:spacing w:line="360" w:lineRule="auto"/>
              <w:jc w:val="both"/>
              <w:rPr>
                <w:rFonts w:ascii="Times New Roman" w:eastAsia="Times New Roman" w:hAnsi="Times New Roman" w:cs="Times New Roman"/>
                <w:sz w:val="24"/>
                <w:szCs w:val="24"/>
              </w:rPr>
            </w:pPr>
            <w:r w:rsidRPr="00A95257">
              <w:rPr>
                <w:rFonts w:ascii="Times New Roman" w:eastAsia="Times New Roman" w:hAnsi="Times New Roman" w:cs="Times New Roman"/>
                <w:sz w:val="24"/>
                <w:szCs w:val="24"/>
              </w:rPr>
              <w:t>Hard to apply if work is highly repetitive, requires supervisor buy-in</w:t>
            </w:r>
          </w:p>
        </w:tc>
        <w:tc>
          <w:tcPr>
            <w:tcW w:w="2340" w:type="dxa"/>
            <w:tcMar>
              <w:top w:w="100" w:type="dxa"/>
              <w:left w:w="100" w:type="dxa"/>
              <w:bottom w:w="100" w:type="dxa"/>
              <w:right w:w="100" w:type="dxa"/>
            </w:tcMar>
          </w:tcPr>
          <w:p w14:paraId="0D8872BE" w14:textId="77777777" w:rsidR="00786009" w:rsidRPr="00A95257" w:rsidRDefault="00000000" w:rsidP="007944EC">
            <w:pPr>
              <w:spacing w:line="360" w:lineRule="auto"/>
              <w:jc w:val="both"/>
              <w:rPr>
                <w:rFonts w:ascii="Times New Roman" w:eastAsia="Times New Roman" w:hAnsi="Times New Roman" w:cs="Times New Roman"/>
                <w:sz w:val="24"/>
                <w:szCs w:val="24"/>
              </w:rPr>
            </w:pPr>
            <w:r w:rsidRPr="00A95257">
              <w:rPr>
                <w:rFonts w:ascii="Times New Roman" w:eastAsia="Times New Roman" w:hAnsi="Times New Roman" w:cs="Times New Roman"/>
                <w:sz w:val="24"/>
                <w:szCs w:val="24"/>
              </w:rPr>
              <w:t>Suitable through task rotation, decision-making on quality checks, and minor process improvements</w:t>
            </w:r>
          </w:p>
        </w:tc>
      </w:tr>
      <w:tr w:rsidR="00786009" w:rsidRPr="00A95257" w14:paraId="372AD6D7" w14:textId="77777777">
        <w:tc>
          <w:tcPr>
            <w:tcW w:w="2340" w:type="dxa"/>
            <w:tcMar>
              <w:top w:w="100" w:type="dxa"/>
              <w:left w:w="100" w:type="dxa"/>
              <w:bottom w:w="100" w:type="dxa"/>
              <w:right w:w="100" w:type="dxa"/>
            </w:tcMar>
          </w:tcPr>
          <w:p w14:paraId="0135EF2D" w14:textId="77777777" w:rsidR="00786009" w:rsidRPr="00A95257" w:rsidRDefault="00000000" w:rsidP="007944EC">
            <w:pPr>
              <w:widowControl w:val="0"/>
              <w:pBdr>
                <w:top w:val="nil"/>
                <w:left w:val="nil"/>
                <w:bottom w:val="nil"/>
                <w:right w:val="nil"/>
                <w:between w:val="nil"/>
              </w:pBdr>
              <w:spacing w:line="360" w:lineRule="auto"/>
              <w:jc w:val="both"/>
              <w:rPr>
                <w:rFonts w:ascii="Times New Roman" w:eastAsia="Times New Roman" w:hAnsi="Times New Roman" w:cs="Times New Roman"/>
                <w:b/>
                <w:sz w:val="24"/>
                <w:szCs w:val="24"/>
              </w:rPr>
            </w:pPr>
            <w:r w:rsidRPr="00A95257">
              <w:rPr>
                <w:rFonts w:ascii="Times New Roman" w:eastAsia="Times New Roman" w:hAnsi="Times New Roman" w:cs="Times New Roman"/>
                <w:b/>
                <w:sz w:val="24"/>
                <w:szCs w:val="24"/>
              </w:rPr>
              <w:t>Reward</w:t>
            </w:r>
          </w:p>
        </w:tc>
        <w:tc>
          <w:tcPr>
            <w:tcW w:w="2340" w:type="dxa"/>
            <w:tcMar>
              <w:top w:w="100" w:type="dxa"/>
              <w:left w:w="100" w:type="dxa"/>
              <w:bottom w:w="100" w:type="dxa"/>
              <w:right w:w="100" w:type="dxa"/>
            </w:tcMar>
          </w:tcPr>
          <w:p w14:paraId="0D2532B2" w14:textId="77777777" w:rsidR="00786009" w:rsidRPr="00A95257" w:rsidRDefault="00000000" w:rsidP="007944EC">
            <w:pPr>
              <w:spacing w:line="360" w:lineRule="auto"/>
              <w:jc w:val="both"/>
              <w:rPr>
                <w:rFonts w:ascii="Times New Roman" w:eastAsia="Times New Roman" w:hAnsi="Times New Roman" w:cs="Times New Roman"/>
                <w:sz w:val="24"/>
                <w:szCs w:val="24"/>
              </w:rPr>
            </w:pPr>
            <w:r w:rsidRPr="00A95257">
              <w:rPr>
                <w:rFonts w:ascii="Times New Roman" w:eastAsia="Times New Roman" w:hAnsi="Times New Roman" w:cs="Times New Roman"/>
                <w:sz w:val="24"/>
                <w:szCs w:val="24"/>
              </w:rPr>
              <w:t>Directly addresses competitive labour market, enhances fairness and recognition</w:t>
            </w:r>
          </w:p>
        </w:tc>
        <w:tc>
          <w:tcPr>
            <w:tcW w:w="2340" w:type="dxa"/>
            <w:tcMar>
              <w:top w:w="100" w:type="dxa"/>
              <w:left w:w="100" w:type="dxa"/>
              <w:bottom w:w="100" w:type="dxa"/>
              <w:right w:w="100" w:type="dxa"/>
            </w:tcMar>
          </w:tcPr>
          <w:p w14:paraId="6716839F" w14:textId="77777777" w:rsidR="00786009" w:rsidRPr="00A95257" w:rsidRDefault="00000000" w:rsidP="007944EC">
            <w:pPr>
              <w:spacing w:line="360" w:lineRule="auto"/>
              <w:jc w:val="both"/>
              <w:rPr>
                <w:rFonts w:ascii="Times New Roman" w:eastAsia="Times New Roman" w:hAnsi="Times New Roman" w:cs="Times New Roman"/>
                <w:sz w:val="24"/>
                <w:szCs w:val="24"/>
              </w:rPr>
            </w:pPr>
            <w:r w:rsidRPr="00A95257">
              <w:rPr>
                <w:rFonts w:ascii="Times New Roman" w:eastAsia="Times New Roman" w:hAnsi="Times New Roman" w:cs="Times New Roman"/>
                <w:sz w:val="24"/>
                <w:szCs w:val="24"/>
              </w:rPr>
              <w:t>Cost implications, may create short-term focus</w:t>
            </w:r>
          </w:p>
        </w:tc>
        <w:tc>
          <w:tcPr>
            <w:tcW w:w="2340" w:type="dxa"/>
            <w:tcMar>
              <w:top w:w="100" w:type="dxa"/>
              <w:left w:w="100" w:type="dxa"/>
              <w:bottom w:w="100" w:type="dxa"/>
              <w:right w:w="100" w:type="dxa"/>
            </w:tcMar>
          </w:tcPr>
          <w:p w14:paraId="65C44F80" w14:textId="77777777" w:rsidR="00786009" w:rsidRPr="00A95257" w:rsidRDefault="00000000" w:rsidP="007944EC">
            <w:pPr>
              <w:spacing w:line="360" w:lineRule="auto"/>
              <w:jc w:val="both"/>
              <w:rPr>
                <w:rFonts w:ascii="Times New Roman" w:eastAsia="Times New Roman" w:hAnsi="Times New Roman" w:cs="Times New Roman"/>
                <w:sz w:val="24"/>
                <w:szCs w:val="24"/>
              </w:rPr>
            </w:pPr>
            <w:r w:rsidRPr="00A95257">
              <w:rPr>
                <w:rFonts w:ascii="Times New Roman" w:eastAsia="Times New Roman" w:hAnsi="Times New Roman" w:cs="Times New Roman"/>
                <w:sz w:val="24"/>
                <w:szCs w:val="24"/>
              </w:rPr>
              <w:t>Helps compete with rival logistics employers offering higher hourly pay or attendance bonuses</w:t>
            </w:r>
          </w:p>
        </w:tc>
      </w:tr>
    </w:tbl>
    <w:p w14:paraId="0180BAD2" w14:textId="77777777" w:rsidR="00786009" w:rsidRPr="00A95257" w:rsidRDefault="00786009" w:rsidP="007944EC">
      <w:pPr>
        <w:spacing w:line="360" w:lineRule="auto"/>
        <w:jc w:val="both"/>
        <w:rPr>
          <w:rFonts w:ascii="Times New Roman" w:eastAsia="Times New Roman" w:hAnsi="Times New Roman" w:cs="Times New Roman"/>
          <w:sz w:val="24"/>
          <w:szCs w:val="24"/>
        </w:rPr>
      </w:pPr>
    </w:p>
    <w:p w14:paraId="428BAD0E" w14:textId="77777777" w:rsidR="00786009" w:rsidRPr="00A95257" w:rsidRDefault="00000000" w:rsidP="007944EC">
      <w:pPr>
        <w:spacing w:line="360" w:lineRule="auto"/>
        <w:jc w:val="both"/>
        <w:rPr>
          <w:rFonts w:ascii="Times New Roman" w:eastAsia="Times New Roman" w:hAnsi="Times New Roman" w:cs="Times New Roman"/>
          <w:sz w:val="24"/>
          <w:szCs w:val="24"/>
        </w:rPr>
      </w:pPr>
      <w:r w:rsidRPr="00A95257">
        <w:rPr>
          <w:rFonts w:ascii="Times New Roman" w:eastAsia="Times New Roman" w:hAnsi="Times New Roman" w:cs="Times New Roman"/>
          <w:sz w:val="24"/>
          <w:szCs w:val="24"/>
        </w:rPr>
        <w:t>The effectiveness of RJPs at the recruitment stage is that most warehouse employees drop out early in the job conditions after finding out that the work is not as expected. ImportantParcel can mitigate early attrition by displaying to the candidates the physical characteristics of the job, the shifts, cold rooms or high seasons etc. Nonetheless, RJPs will have the ability to cut the number of applicants and it might be difficult in an already tight labour market. Organized induction helps in retention within the initial critical weeks (CIPD, 2025). In the case of warehouse jobs, it may explain the working expectation, safety measures and organizational culture. This makes the new entrants feel part and fit. On the contrary, an induction in a hurry may cause errors, accidents, and preterm disconnection. Though this will demand some form of investment, it will be cheaper than the turnover. The motivation of a job enrichment based on the model of job characteristics of Hackman and Oldham, may involve autonomy, skill variety, task significance, and feedback (</w:t>
      </w:r>
      <w:r w:rsidRPr="00A95257">
        <w:rPr>
          <w:rFonts w:ascii="Times New Roman" w:eastAsia="Times New Roman" w:hAnsi="Times New Roman" w:cs="Times New Roman"/>
          <w:sz w:val="24"/>
          <w:szCs w:val="24"/>
          <w:highlight w:val="white"/>
        </w:rPr>
        <w:t xml:space="preserve">Cotič </w:t>
      </w:r>
      <w:r w:rsidRPr="00A95257">
        <w:rPr>
          <w:rFonts w:ascii="Times New Roman" w:eastAsia="Times New Roman" w:hAnsi="Times New Roman" w:cs="Times New Roman"/>
          <w:i/>
          <w:sz w:val="24"/>
          <w:szCs w:val="24"/>
          <w:highlight w:val="white"/>
        </w:rPr>
        <w:t>et al</w:t>
      </w:r>
      <w:r w:rsidRPr="00A95257">
        <w:rPr>
          <w:rFonts w:ascii="Times New Roman" w:eastAsia="Times New Roman" w:hAnsi="Times New Roman" w:cs="Times New Roman"/>
          <w:sz w:val="24"/>
          <w:szCs w:val="24"/>
          <w:highlight w:val="white"/>
        </w:rPr>
        <w:t>., 2025</w:t>
      </w:r>
      <w:r w:rsidRPr="00A95257">
        <w:rPr>
          <w:rFonts w:ascii="Times New Roman" w:eastAsia="Times New Roman" w:hAnsi="Times New Roman" w:cs="Times New Roman"/>
          <w:sz w:val="24"/>
          <w:szCs w:val="24"/>
        </w:rPr>
        <w:t>). The enrichment may involve cross training of the employees in picking, packaging, and dispatch or engage the employees in constant improvement meetings. Lastly, reward plans are also a strong retention tool in the logistics sector where remuneration rates can be easily benchmarked (</w:t>
      </w:r>
      <w:r w:rsidRPr="00A95257">
        <w:rPr>
          <w:rFonts w:ascii="Times New Roman" w:eastAsia="Times New Roman" w:hAnsi="Times New Roman" w:cs="Times New Roman"/>
          <w:sz w:val="24"/>
          <w:szCs w:val="24"/>
          <w:highlight w:val="white"/>
        </w:rPr>
        <w:t>CHAUDHRY, 2023</w:t>
      </w:r>
      <w:r w:rsidRPr="00A95257">
        <w:rPr>
          <w:rFonts w:ascii="Times New Roman" w:eastAsia="Times New Roman" w:hAnsi="Times New Roman" w:cs="Times New Roman"/>
          <w:sz w:val="24"/>
          <w:szCs w:val="24"/>
        </w:rPr>
        <w:t xml:space="preserve">). ImportantParcel can be distinguished meaningfully in competitive salary scales, attendance bonuses, recognition schemes and subsidised transport among other things, compared with local competitors. </w:t>
      </w:r>
    </w:p>
    <w:p w14:paraId="037AD6B8" w14:textId="77777777" w:rsidR="00786009" w:rsidRPr="00A95257" w:rsidRDefault="00786009" w:rsidP="007944EC">
      <w:pPr>
        <w:spacing w:line="360" w:lineRule="auto"/>
        <w:jc w:val="both"/>
        <w:rPr>
          <w:rFonts w:ascii="Times New Roman" w:eastAsia="Times New Roman" w:hAnsi="Times New Roman" w:cs="Times New Roman"/>
          <w:sz w:val="24"/>
          <w:szCs w:val="24"/>
        </w:rPr>
      </w:pPr>
    </w:p>
    <w:p w14:paraId="1A8C0D9D" w14:textId="77777777" w:rsidR="00786009" w:rsidRPr="00A95257" w:rsidRDefault="00786009" w:rsidP="007944EC">
      <w:pPr>
        <w:spacing w:line="360" w:lineRule="auto"/>
        <w:jc w:val="both"/>
        <w:rPr>
          <w:rFonts w:ascii="Times New Roman" w:eastAsia="Times New Roman" w:hAnsi="Times New Roman" w:cs="Times New Roman"/>
          <w:sz w:val="24"/>
          <w:szCs w:val="24"/>
        </w:rPr>
      </w:pPr>
    </w:p>
    <w:p w14:paraId="09F2FF6E" w14:textId="77777777" w:rsidR="00786009" w:rsidRPr="00A95257" w:rsidRDefault="00786009" w:rsidP="007944EC">
      <w:pPr>
        <w:spacing w:line="360" w:lineRule="auto"/>
        <w:jc w:val="both"/>
        <w:rPr>
          <w:rFonts w:ascii="Times New Roman" w:eastAsia="Times New Roman" w:hAnsi="Times New Roman" w:cs="Times New Roman"/>
          <w:sz w:val="24"/>
          <w:szCs w:val="24"/>
        </w:rPr>
      </w:pPr>
    </w:p>
    <w:p w14:paraId="4A3DC5B3" w14:textId="77777777" w:rsidR="00786009" w:rsidRPr="00A95257" w:rsidRDefault="00786009" w:rsidP="007944EC">
      <w:pPr>
        <w:spacing w:line="360" w:lineRule="auto"/>
        <w:jc w:val="both"/>
        <w:rPr>
          <w:rFonts w:ascii="Times New Roman" w:eastAsia="Times New Roman" w:hAnsi="Times New Roman" w:cs="Times New Roman"/>
          <w:sz w:val="24"/>
          <w:szCs w:val="24"/>
        </w:rPr>
      </w:pPr>
    </w:p>
    <w:p w14:paraId="3ED63A58" w14:textId="77777777" w:rsidR="00786009" w:rsidRPr="00A95257" w:rsidRDefault="00786009" w:rsidP="007944EC">
      <w:pPr>
        <w:spacing w:line="360" w:lineRule="auto"/>
        <w:jc w:val="both"/>
        <w:rPr>
          <w:rFonts w:ascii="Times New Roman" w:eastAsia="Times New Roman" w:hAnsi="Times New Roman" w:cs="Times New Roman"/>
          <w:sz w:val="24"/>
          <w:szCs w:val="24"/>
        </w:rPr>
      </w:pPr>
    </w:p>
    <w:p w14:paraId="3B892566" w14:textId="77777777" w:rsidR="00786009" w:rsidRPr="00A95257" w:rsidRDefault="00000000" w:rsidP="007944EC">
      <w:pPr>
        <w:spacing w:line="360" w:lineRule="auto"/>
        <w:jc w:val="both"/>
        <w:rPr>
          <w:rFonts w:ascii="Times New Roman" w:eastAsia="Times New Roman" w:hAnsi="Times New Roman" w:cs="Times New Roman"/>
          <w:sz w:val="24"/>
          <w:szCs w:val="24"/>
        </w:rPr>
      </w:pPr>
      <w:r w:rsidRPr="00A95257">
        <w:br w:type="page"/>
      </w:r>
    </w:p>
    <w:p w14:paraId="3D6284B1" w14:textId="59F4617B" w:rsidR="007944EC" w:rsidRPr="00A95257" w:rsidRDefault="00000000" w:rsidP="007944EC">
      <w:pPr>
        <w:spacing w:line="360" w:lineRule="auto"/>
        <w:jc w:val="both"/>
        <w:rPr>
          <w:rFonts w:ascii="Times New Roman" w:eastAsia="Times New Roman" w:hAnsi="Times New Roman" w:cs="Times New Roman"/>
          <w:b/>
          <w:sz w:val="24"/>
          <w:szCs w:val="24"/>
        </w:rPr>
      </w:pPr>
      <w:r w:rsidRPr="00A95257">
        <w:rPr>
          <w:rFonts w:ascii="Times New Roman" w:eastAsia="Times New Roman" w:hAnsi="Times New Roman" w:cs="Times New Roman"/>
          <w:b/>
          <w:sz w:val="24"/>
          <w:szCs w:val="24"/>
        </w:rPr>
        <w:lastRenderedPageBreak/>
        <w:t>Reference</w:t>
      </w:r>
    </w:p>
    <w:p w14:paraId="078948C1" w14:textId="77777777" w:rsidR="007944EC" w:rsidRPr="00A95257" w:rsidRDefault="007944EC" w:rsidP="007944EC">
      <w:pPr>
        <w:spacing w:line="360" w:lineRule="auto"/>
        <w:jc w:val="both"/>
        <w:rPr>
          <w:rFonts w:ascii="Times New Roman" w:eastAsia="Times New Roman" w:hAnsi="Times New Roman" w:cs="Times New Roman"/>
          <w:sz w:val="24"/>
          <w:szCs w:val="24"/>
          <w:highlight w:val="white"/>
        </w:rPr>
      </w:pPr>
      <w:r w:rsidRPr="00A95257">
        <w:rPr>
          <w:rFonts w:ascii="Times New Roman" w:eastAsia="Times New Roman" w:hAnsi="Times New Roman" w:cs="Times New Roman"/>
          <w:sz w:val="24"/>
          <w:szCs w:val="24"/>
          <w:highlight w:val="white"/>
        </w:rPr>
        <w:t xml:space="preserve">CHAUDHRY, H., 2023. THE IMPACT OF ORGANIZATIONAL FACTORS ON EMPLOYEE RETENTION IN THE LOGISTIC SECTOR OF KARACHI, PAKISTAN. </w:t>
      </w:r>
      <w:r w:rsidRPr="00A95257">
        <w:rPr>
          <w:rFonts w:ascii="Times New Roman" w:eastAsia="Times New Roman" w:hAnsi="Times New Roman" w:cs="Times New Roman"/>
          <w:i/>
          <w:sz w:val="24"/>
          <w:szCs w:val="24"/>
          <w:highlight w:val="white"/>
        </w:rPr>
        <w:t>Journal of Business Strategies</w:t>
      </w:r>
      <w:r w:rsidRPr="00A95257">
        <w:rPr>
          <w:rFonts w:ascii="Times New Roman" w:eastAsia="Times New Roman" w:hAnsi="Times New Roman" w:cs="Times New Roman"/>
          <w:sz w:val="24"/>
          <w:szCs w:val="24"/>
          <w:highlight w:val="white"/>
        </w:rPr>
        <w:t xml:space="preserve">, </w:t>
      </w:r>
      <w:r w:rsidRPr="00A95257">
        <w:rPr>
          <w:rFonts w:ascii="Times New Roman" w:eastAsia="Times New Roman" w:hAnsi="Times New Roman" w:cs="Times New Roman"/>
          <w:i/>
          <w:sz w:val="24"/>
          <w:szCs w:val="24"/>
          <w:highlight w:val="white"/>
        </w:rPr>
        <w:t>17</w:t>
      </w:r>
      <w:r w:rsidRPr="00A95257">
        <w:rPr>
          <w:rFonts w:ascii="Times New Roman" w:eastAsia="Times New Roman" w:hAnsi="Times New Roman" w:cs="Times New Roman"/>
          <w:sz w:val="24"/>
          <w:szCs w:val="24"/>
          <w:highlight w:val="white"/>
        </w:rPr>
        <w:t>(2), p.30.</w:t>
      </w:r>
      <w:hyperlink r:id="rId4">
        <w:r w:rsidRPr="00A95257">
          <w:rPr>
            <w:rFonts w:ascii="Times New Roman" w:eastAsia="Times New Roman" w:hAnsi="Times New Roman" w:cs="Times New Roman"/>
            <w:sz w:val="24"/>
            <w:szCs w:val="24"/>
            <w:highlight w:val="white"/>
            <w:u w:val="single"/>
          </w:rPr>
          <w:t>https://www.greenwichjournals.com/index.php/businessstudies/article/view/712/260</w:t>
        </w:r>
      </w:hyperlink>
    </w:p>
    <w:p w14:paraId="38B8CE69" w14:textId="77777777" w:rsidR="007944EC" w:rsidRPr="00A95257" w:rsidRDefault="007944EC" w:rsidP="007944EC">
      <w:pPr>
        <w:spacing w:line="360" w:lineRule="auto"/>
        <w:jc w:val="both"/>
        <w:rPr>
          <w:rFonts w:ascii="Times New Roman" w:eastAsia="Times New Roman" w:hAnsi="Times New Roman" w:cs="Times New Roman"/>
          <w:sz w:val="24"/>
          <w:szCs w:val="24"/>
        </w:rPr>
      </w:pPr>
      <w:r w:rsidRPr="00A95257">
        <w:rPr>
          <w:rFonts w:ascii="Times New Roman" w:eastAsia="Times New Roman" w:hAnsi="Times New Roman" w:cs="Times New Roman"/>
          <w:sz w:val="24"/>
          <w:szCs w:val="24"/>
        </w:rPr>
        <w:t xml:space="preserve">CIPD (2025). </w:t>
      </w:r>
      <w:r w:rsidRPr="00A95257">
        <w:rPr>
          <w:rFonts w:ascii="Times New Roman" w:eastAsia="Times New Roman" w:hAnsi="Times New Roman" w:cs="Times New Roman"/>
          <w:i/>
          <w:sz w:val="24"/>
          <w:szCs w:val="24"/>
        </w:rPr>
        <w:t>CIPD | Employee induction</w:t>
      </w:r>
      <w:r w:rsidRPr="00A95257">
        <w:rPr>
          <w:rFonts w:ascii="Times New Roman" w:eastAsia="Times New Roman" w:hAnsi="Times New Roman" w:cs="Times New Roman"/>
          <w:sz w:val="24"/>
          <w:szCs w:val="24"/>
        </w:rPr>
        <w:t xml:space="preserve">. [online] CIPD. Available at: </w:t>
      </w:r>
      <w:hyperlink r:id="rId5">
        <w:r w:rsidRPr="00A95257">
          <w:rPr>
            <w:rFonts w:ascii="Times New Roman" w:eastAsia="Times New Roman" w:hAnsi="Times New Roman" w:cs="Times New Roman"/>
            <w:sz w:val="24"/>
            <w:szCs w:val="24"/>
            <w:u w:val="single"/>
          </w:rPr>
          <w:t>https://www.cipd.org/en/knowledge/guides/employee-induction/</w:t>
        </w:r>
      </w:hyperlink>
      <w:r w:rsidRPr="00A95257">
        <w:rPr>
          <w:rFonts w:ascii="Times New Roman" w:eastAsia="Times New Roman" w:hAnsi="Times New Roman" w:cs="Times New Roman"/>
          <w:sz w:val="24"/>
          <w:szCs w:val="24"/>
        </w:rPr>
        <w:t>.</w:t>
      </w:r>
    </w:p>
    <w:p w14:paraId="24D351C3" w14:textId="77777777" w:rsidR="007944EC" w:rsidRPr="00A95257" w:rsidRDefault="007944EC" w:rsidP="007944EC">
      <w:pPr>
        <w:spacing w:line="360" w:lineRule="auto"/>
        <w:jc w:val="both"/>
        <w:rPr>
          <w:rFonts w:ascii="Times New Roman" w:eastAsia="Times New Roman" w:hAnsi="Times New Roman" w:cs="Times New Roman"/>
          <w:sz w:val="24"/>
          <w:szCs w:val="24"/>
          <w:highlight w:val="white"/>
        </w:rPr>
      </w:pPr>
      <w:r w:rsidRPr="00A95257">
        <w:rPr>
          <w:rFonts w:ascii="Times New Roman" w:eastAsia="Times New Roman" w:hAnsi="Times New Roman" w:cs="Times New Roman"/>
          <w:sz w:val="24"/>
          <w:szCs w:val="24"/>
          <w:highlight w:val="white"/>
        </w:rPr>
        <w:t xml:space="preserve">Cotič, L.P., Man, M.M.K., Soga, L.R., Konstantopoulou, A. and Lodorfos, G., 2025. Job characteristics for work engagement: autonomy, feedback, skill variety, task identity, and task significance. </w:t>
      </w:r>
      <w:r w:rsidRPr="00A95257">
        <w:rPr>
          <w:rFonts w:ascii="Times New Roman" w:eastAsia="Times New Roman" w:hAnsi="Times New Roman" w:cs="Times New Roman"/>
          <w:i/>
          <w:sz w:val="24"/>
          <w:szCs w:val="24"/>
          <w:highlight w:val="white"/>
        </w:rPr>
        <w:t>Global Business and Organizational Excellence</w:t>
      </w:r>
      <w:r w:rsidRPr="00A95257">
        <w:rPr>
          <w:rFonts w:ascii="Times New Roman" w:eastAsia="Times New Roman" w:hAnsi="Times New Roman" w:cs="Times New Roman"/>
          <w:sz w:val="24"/>
          <w:szCs w:val="24"/>
          <w:highlight w:val="white"/>
        </w:rPr>
        <w:t xml:space="preserve">, </w:t>
      </w:r>
      <w:r w:rsidRPr="00A95257">
        <w:rPr>
          <w:rFonts w:ascii="Times New Roman" w:eastAsia="Times New Roman" w:hAnsi="Times New Roman" w:cs="Times New Roman"/>
          <w:i/>
          <w:sz w:val="24"/>
          <w:szCs w:val="24"/>
          <w:highlight w:val="white"/>
        </w:rPr>
        <w:t>44</w:t>
      </w:r>
      <w:r w:rsidRPr="00A95257">
        <w:rPr>
          <w:rFonts w:ascii="Times New Roman" w:eastAsia="Times New Roman" w:hAnsi="Times New Roman" w:cs="Times New Roman"/>
          <w:sz w:val="24"/>
          <w:szCs w:val="24"/>
          <w:highlight w:val="white"/>
        </w:rPr>
        <w:t>(5), pp.75-85.</w:t>
      </w:r>
      <w:hyperlink r:id="rId6">
        <w:r w:rsidRPr="00A95257">
          <w:rPr>
            <w:rFonts w:ascii="Times New Roman" w:eastAsia="Times New Roman" w:hAnsi="Times New Roman" w:cs="Times New Roman"/>
            <w:sz w:val="24"/>
            <w:szCs w:val="24"/>
            <w:highlight w:val="white"/>
            <w:u w:val="single"/>
          </w:rPr>
          <w:t>https://doi.org/10.1002/joe.22295</w:t>
        </w:r>
      </w:hyperlink>
    </w:p>
    <w:sectPr w:rsidR="007944EC" w:rsidRPr="00A9525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009"/>
    <w:rsid w:val="00786009"/>
    <w:rsid w:val="007944EC"/>
    <w:rsid w:val="00A75CA3"/>
    <w:rsid w:val="00A95257"/>
    <w:rsid w:val="00B07C28"/>
  </w:rsids>
  <m:mathPr>
    <m:mathFont m:val="Cambria Math"/>
    <m:brkBin m:val="before"/>
    <m:brkBinSub m:val="--"/>
    <m:smallFrac m:val="0"/>
    <m:dispDef/>
    <m:lMargin m:val="0"/>
    <m:rMargin m:val="0"/>
    <m:defJc m:val="centerGroup"/>
    <m:wrapIndent m:val="1440"/>
    <m:intLim m:val="subSup"/>
    <m:naryLim m:val="undOvr"/>
  </m:mathPr>
  <w:themeFontLang w:val="en-IN"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273B2"/>
  <w15:docId w15:val="{96ABB383-6F94-4A4F-A71B-E8AB45355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2/joe.22295" TargetMode="External"/><Relationship Id="rId5" Type="http://schemas.openxmlformats.org/officeDocument/2006/relationships/hyperlink" Target="https://www.cipd.org/en/knowledge/guides/employee-induction/" TargetMode="External"/><Relationship Id="rId4" Type="http://schemas.openxmlformats.org/officeDocument/2006/relationships/hyperlink" Target="https://www.greenwichjournals.com/index.php/businessstudies/article/view/712/2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578</Words>
  <Characters>3296</Characters>
  <DocSecurity>0</DocSecurity>
  <Lines>27</Lines>
  <Paragraphs>7</Paragraphs>
  <ScaleCrop>false</ScaleCrop>
  <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2025-10-24T10:18:00Z</dcterms:created>
  <dcterms:modified xsi:type="dcterms:W3CDTF">2026-09-25T12:14:00Z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13bc1875-fb2f-4259-b57b-a8c22eee3034</vt:lpwstr>
  </property>
</Properties>
</file>